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Title"/>
        <w:numPr>
          <w:ilvl w:val="0"/>
          <w:numId w:val="0"/>
        </w:numPr>
        <w:jc w:val="center"/>
        <w:outlineLvl w:val="0"/>
        <w:rPr/>
      </w:pPr>
      <w:r>
        <w:rPr/>
        <w:t>ПРАВИТЕЛЬСТВО ПЕНЗЕНСКОЙ ОБЛАСТИ</w:t>
      </w:r>
    </w:p>
    <w:p>
      <w:pPr>
        <w:pStyle w:val="ConsPlusTitle"/>
        <w:jc w:val="both"/>
        <w:rPr/>
      </w:pPr>
      <w:r>
        <w:rPr/>
      </w:r>
    </w:p>
    <w:p>
      <w:pPr>
        <w:pStyle w:val="ConsPlusTitle"/>
        <w:jc w:val="center"/>
        <w:rPr/>
      </w:pPr>
      <w:r>
        <w:rPr/>
        <w:t>ПОСТАНОВЛЕНИЕ</w:t>
      </w:r>
    </w:p>
    <w:p>
      <w:pPr>
        <w:pStyle w:val="ConsPlusTitle"/>
        <w:jc w:val="center"/>
        <w:rPr/>
      </w:pPr>
      <w:r>
        <w:rPr/>
        <w:t xml:space="preserve">от 18 июля 2025 г. </w:t>
      </w:r>
      <w:r>
        <w:rPr/>
        <w:t>№</w:t>
      </w:r>
      <w:r>
        <w:rPr/>
        <w:t>659-пП</w:t>
      </w:r>
    </w:p>
    <w:p>
      <w:pPr>
        <w:pStyle w:val="ConsPlusTitle"/>
        <w:jc w:val="both"/>
        <w:rPr/>
      </w:pPr>
      <w:r>
        <w:rPr/>
      </w:r>
    </w:p>
    <w:p>
      <w:pPr>
        <w:pStyle w:val="ConsPlusTitle"/>
        <w:jc w:val="center"/>
        <w:rPr/>
      </w:pPr>
      <w:r>
        <w:rPr/>
        <w:t>ОБ УТВЕРЖДЕНИИ МЕТОДИКИ РАСЧЕТА АРЕНДНОЙ ПЛАТЫ</w:t>
      </w:r>
    </w:p>
    <w:p>
      <w:pPr>
        <w:pStyle w:val="ConsPlusTitle"/>
        <w:jc w:val="center"/>
        <w:rPr/>
      </w:pPr>
      <w:r>
        <w:rPr/>
        <w:t>ЗА ПОЛЬЗОВАНИЕ НЕДВИЖИМЫМ И ДВИЖИМЫМ ИМУЩЕСТВОМ, НАХОДЯЩИМСЯ</w:t>
      </w:r>
    </w:p>
    <w:p>
      <w:pPr>
        <w:pStyle w:val="ConsPlusTitle"/>
        <w:jc w:val="center"/>
        <w:rPr/>
      </w:pPr>
      <w:r>
        <w:rPr/>
        <w:t>В СОБСТВЕННОСТИ ПЕНЗЕНСКОЙ ОБЛАСТИ</w:t>
      </w:r>
    </w:p>
    <w:p>
      <w:pPr>
        <w:pStyle w:val="ConsPlusNormal"/>
        <w:jc w:val="both"/>
        <w:rPr/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59"/>
        <w:gridCol w:w="114"/>
        <w:gridCol w:w="9068"/>
        <w:gridCol w:w="113"/>
      </w:tblGrid>
      <w:tr>
        <w:trPr/>
        <w:tc>
          <w:tcPr>
            <w:tcW w:w="59" w:type="dxa"/>
            <w:tcBorders/>
            <w:shd w:color="auto" w:fill="CED3F1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14" w:type="dxa"/>
            <w:tcBorders/>
            <w:shd w:color="auto" w:fill="F4F3F8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068" w:type="dxa"/>
            <w:tcBorders/>
            <w:shd w:color="auto" w:fill="F4F3F8" w:val="clear"/>
            <w:tcMar>
              <w:top w:w="113" w:type="dxa"/>
              <w:bottom w:w="113" w:type="dxa"/>
            </w:tcMar>
          </w:tcPr>
          <w:p>
            <w:pPr>
              <w:pStyle w:val="ConsPlusNormal"/>
              <w:jc w:val="both"/>
              <w:rPr/>
            </w:pPr>
            <w:r>
              <w:rPr>
                <w:color w:val="392C69"/>
              </w:rPr>
              <w:t>КонсультантПлюс: примечание.</w:t>
            </w:r>
          </w:p>
          <w:p>
            <w:pPr>
              <w:pStyle w:val="ConsPlusNormal"/>
              <w:jc w:val="both"/>
              <w:rPr/>
            </w:pPr>
            <w:hyperlink r:id="rId2">
              <w:r>
                <w:rPr>
                  <w:rStyle w:val="Style9"/>
                  <w:color w:val="0000FF"/>
                </w:rPr>
                <w:t>Закон</w:t>
              </w:r>
            </w:hyperlink>
            <w:r>
              <w:rPr>
                <w:color w:val="392C69"/>
              </w:rPr>
              <w:t xml:space="preserve"> Пензенской обл. от 21.04.2023 </w:t>
            </w:r>
            <w:r>
              <w:rPr>
                <w:color w:val="392C69"/>
              </w:rPr>
              <w:t>№</w:t>
            </w:r>
            <w:r>
              <w:rPr>
                <w:color w:val="392C69"/>
              </w:rPr>
              <w:t xml:space="preserve">4006-ЗПО утратил силу в связи с принятием </w:t>
            </w:r>
            <w:hyperlink r:id="rId3">
              <w:r>
                <w:rPr>
                  <w:rStyle w:val="Style9"/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Пензенской обл. от 22.05.2026 </w:t>
            </w:r>
            <w:r>
              <w:rPr>
                <w:color w:val="392C69"/>
              </w:rPr>
              <w:t>№</w:t>
            </w:r>
            <w:r>
              <w:rPr>
                <w:color w:val="392C69"/>
              </w:rPr>
              <w:t xml:space="preserve">4763-ЗПО. Действующие нормы по данному вопросу содержатся в </w:t>
            </w:r>
            <w:hyperlink r:id="rId4">
              <w:r>
                <w:rPr>
                  <w:rStyle w:val="Style9"/>
                  <w:color w:val="0000FF"/>
                </w:rPr>
                <w:t>Законе</w:t>
              </w:r>
            </w:hyperlink>
            <w:r>
              <w:rPr>
                <w:color w:val="392C69"/>
              </w:rPr>
              <w:t xml:space="preserve"> Пензенской обл. от 22.05.2026 </w:t>
            </w:r>
            <w:r>
              <w:rPr>
                <w:color w:val="392C69"/>
              </w:rPr>
              <w:t>№</w:t>
            </w:r>
            <w:r>
              <w:rPr>
                <w:color w:val="392C69"/>
              </w:rPr>
              <w:t>4762-ЗПО.</w:t>
            </w:r>
          </w:p>
        </w:tc>
        <w:tc>
          <w:tcPr>
            <w:tcW w:w="113" w:type="dxa"/>
            <w:tcBorders/>
            <w:shd w:color="auto" w:fill="F4F3F8" w:val="clear"/>
          </w:tcPr>
          <w:p>
            <w:pPr>
              <w:pStyle w:val="ConsPlusNormal"/>
              <w:rPr/>
            </w:pPr>
            <w:r>
              <w:rPr/>
            </w:r>
          </w:p>
        </w:tc>
      </w:tr>
    </w:tbl>
    <w:p>
      <w:pPr>
        <w:pStyle w:val="ConsPlusNormal"/>
        <w:spacing w:before="280" w:after="0"/>
        <w:ind w:firstLine="540"/>
        <w:jc w:val="both"/>
        <w:rPr/>
      </w:pPr>
      <w:r>
        <w:rPr/>
        <w:t xml:space="preserve">В целях повышения эффективности использования имущества, находящегося в собственности Пензенской области, на основании законов Пензенской области от 29.03.2024 </w:t>
      </w:r>
      <w:r>
        <w:rPr/>
        <w:t>№</w:t>
      </w:r>
      <w:hyperlink r:id="rId5">
        <w:r>
          <w:rPr>
            <w:rStyle w:val="Style9"/>
            <w:color w:val="0000FF"/>
          </w:rPr>
          <w:t>4191-ЗПО</w:t>
        </w:r>
      </w:hyperlink>
      <w:r>
        <w:rPr/>
        <w:t xml:space="preserve"> "Об управлении собственностью Пензенской области" (с последующими изменениями), от 29.03.2004 </w:t>
      </w:r>
      <w:r>
        <w:rPr/>
        <w:t>№</w:t>
      </w:r>
      <w:hyperlink r:id="rId6">
        <w:r>
          <w:rPr>
            <w:rStyle w:val="Style9"/>
            <w:color w:val="0000FF"/>
          </w:rPr>
          <w:t>4193-ЗПО</w:t>
        </w:r>
      </w:hyperlink>
      <w:r>
        <w:rPr/>
        <w:t xml:space="preserve"> "О ставках арендной платы, платы за пользование имуществом Пензенской области", руководствуясь </w:t>
      </w:r>
      <w:hyperlink r:id="rId7">
        <w:r>
          <w:rPr>
            <w:rStyle w:val="Style9"/>
            <w:color w:val="0000FF"/>
          </w:rPr>
          <w:t>Законом</w:t>
        </w:r>
      </w:hyperlink>
      <w:r>
        <w:rPr/>
        <w:t xml:space="preserve"> Пензенской области от 21.04.2023 N 4006-ЗПО "О Правительстве Пензенской области" (с последующими изменениями), Правительство Пензенской области постановляет: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 xml:space="preserve">1. Утвердить прилагаемую </w:t>
      </w:r>
      <w:hyperlink w:anchor="P30">
        <w:r>
          <w:rPr>
            <w:rStyle w:val="Style9"/>
            <w:color w:val="0000FF"/>
          </w:rPr>
          <w:t>Методику</w:t>
        </w:r>
      </w:hyperlink>
      <w:r>
        <w:rPr/>
        <w:t xml:space="preserve"> расчета арендной платы за пользование недвижимым и движимым имуществом, находящимся в собственности Пензенской области.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2. Настоящее постановление опубликовать в газете "Пензенские губернские ведомости" и разместить (опубликовать) на "Официальном интернет-портале правовой информации" (</w:t>
      </w:r>
      <w:hyperlink r:id="rId8">
        <w:r>
          <w:rPr>
            <w:rStyle w:val="Style9"/>
            <w:color w:val="0000FF"/>
          </w:rPr>
          <w:t>www.pravo.gov.ru</w:t>
        </w:r>
      </w:hyperlink>
      <w:r>
        <w:rPr/>
        <w:t>) и на официальном сайте Правительства Пензенской области в информационно-телекоммуникационной сети "Интернет".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3. Контроль за исполнением настоящего постановления возложить на руководителя исполнительного органа Пензенской области в сфере земельных и имущественных отношений.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right"/>
        <w:rPr/>
      </w:pPr>
      <w:r>
        <w:rPr/>
        <w:t>Председатель Правительства</w:t>
      </w:r>
    </w:p>
    <w:p>
      <w:pPr>
        <w:pStyle w:val="ConsPlusNormal"/>
        <w:jc w:val="right"/>
        <w:rPr/>
      </w:pPr>
      <w:r>
        <w:rPr/>
        <w:t>Пензенской области</w:t>
      </w:r>
    </w:p>
    <w:p>
      <w:pPr>
        <w:pStyle w:val="ConsPlusNormal"/>
        <w:jc w:val="right"/>
        <w:rPr/>
      </w:pPr>
      <w:r>
        <w:rPr/>
        <w:t>Н.П.СИМОНОВ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numPr>
          <w:ilvl w:val="0"/>
          <w:numId w:val="0"/>
        </w:numPr>
        <w:jc w:val="right"/>
        <w:outlineLvl w:val="0"/>
        <w:rPr/>
      </w:pPr>
      <w:r>
        <w:rPr/>
        <w:t>Утверждена</w:t>
      </w:r>
    </w:p>
    <w:p>
      <w:pPr>
        <w:pStyle w:val="ConsPlusNormal"/>
        <w:jc w:val="right"/>
        <w:rPr/>
      </w:pPr>
      <w:r>
        <w:rPr/>
        <w:t>постановлением</w:t>
      </w:r>
    </w:p>
    <w:p>
      <w:pPr>
        <w:pStyle w:val="ConsPlusNormal"/>
        <w:jc w:val="right"/>
        <w:rPr/>
      </w:pPr>
      <w:r>
        <w:rPr/>
        <w:t>Правительства Пензенской области</w:t>
      </w:r>
    </w:p>
    <w:p>
      <w:pPr>
        <w:pStyle w:val="ConsPlusNormal"/>
        <w:jc w:val="right"/>
        <w:rPr/>
      </w:pPr>
      <w:r>
        <w:rPr/>
        <w:t>от 18 июля 2025 г. N 659-пП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jc w:val="center"/>
        <w:rPr/>
      </w:pPr>
      <w:bookmarkStart w:id="0" w:name="P30"/>
      <w:bookmarkEnd w:id="0"/>
      <w:r>
        <w:rPr/>
        <w:t>МЕТОДИКА</w:t>
      </w:r>
    </w:p>
    <w:p>
      <w:pPr>
        <w:pStyle w:val="ConsPlusTitle"/>
        <w:jc w:val="center"/>
        <w:rPr/>
      </w:pPr>
      <w:r>
        <w:rPr/>
        <w:t>РАСЧЕТА АРЕНДНОЙ ПЛАТЫ ЗА ПОЛЬЗОВАНИЕ НЕДВИЖИМЫМ И ДВИЖИМЫМ</w:t>
      </w:r>
    </w:p>
    <w:p>
      <w:pPr>
        <w:pStyle w:val="ConsPlusTitle"/>
        <w:jc w:val="center"/>
        <w:rPr/>
      </w:pPr>
      <w:r>
        <w:rPr/>
        <w:t>ИМУЩЕСТВОМ, НАХОДЯЩИМСЯ В СОБСТВЕННОСТИ ПЕНЗЕНСКОЙ ОБЛАСТИ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1"/>
        <w:rPr/>
      </w:pPr>
      <w:bookmarkStart w:id="1" w:name="P34"/>
      <w:bookmarkEnd w:id="1"/>
      <w:r>
        <w:rPr/>
        <w:t>1. Общие положения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  <w:t xml:space="preserve">1.1. Настоящая Методика расчета арендной платы за пользование недвижимым и движимым имуществом, находящимся в собственности Пензенской области (далее - Методика), разработана на основании </w:t>
      </w:r>
      <w:hyperlink r:id="rId9">
        <w:r>
          <w:rPr>
            <w:rStyle w:val="Style9"/>
            <w:color w:val="0000FF"/>
          </w:rPr>
          <w:t>Закона</w:t>
        </w:r>
      </w:hyperlink>
      <w:r>
        <w:rPr/>
        <w:t xml:space="preserve"> Пензенской области от 29.03.2024 N 4191-ЗПО "Об управлении собственностью Пензенской области" (с последующими изменениями) и </w:t>
      </w:r>
      <w:hyperlink r:id="rId10">
        <w:r>
          <w:rPr>
            <w:rStyle w:val="Style9"/>
            <w:color w:val="0000FF"/>
          </w:rPr>
          <w:t>Закона</w:t>
        </w:r>
      </w:hyperlink>
      <w:r>
        <w:rPr/>
        <w:t xml:space="preserve"> Пензенской области от 29.03.2004 N 4193-ЗПО "О ставках арендной платы, платы за пользование имуществом Пензенской области" (далее - Закон Пензенской области от 29.03.2004 N 4193-ЗПО) с целью создания методической базы по расчету платы за пользование объектами капитального строительства Пензенской области, движимым имуществом и сооружениями, находящимися в собственности Пензенской области.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Настоящая Методика не распространяется: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- на правоотношения, урегулированные федеральным законодательством;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- на случаи установления арендной платы в отношении неиспользуемых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находящихся в неудовлетворительном состоянии и относящихся к собственности Пензенской области.</w:t>
      </w:r>
    </w:p>
    <w:p>
      <w:pPr>
        <w:pStyle w:val="ConsPlusNormal"/>
        <w:spacing w:before="220" w:after="0"/>
        <w:ind w:firstLine="540"/>
        <w:jc w:val="both"/>
        <w:rPr/>
      </w:pPr>
      <w:bookmarkStart w:id="2" w:name="P40"/>
      <w:bookmarkEnd w:id="2"/>
      <w:r>
        <w:rPr/>
        <w:t xml:space="preserve">1.2. Базовая ставка арендной платы за один квадратный метр площади нежилых зданий (помещений) при расчете арендной платы применяется в размере, установленном </w:t>
      </w:r>
      <w:hyperlink r:id="rId11">
        <w:r>
          <w:rPr>
            <w:rStyle w:val="Style9"/>
            <w:color w:val="0000FF"/>
          </w:rPr>
          <w:t>пунктом 1 статьи 1</w:t>
        </w:r>
      </w:hyperlink>
      <w:r>
        <w:rPr/>
        <w:t xml:space="preserve"> Закона Пензенской области от 29.03.2024 N 4193-ЗПО.</w:t>
      </w:r>
    </w:p>
    <w:p>
      <w:pPr>
        <w:pStyle w:val="ConsPlusNormal"/>
        <w:spacing w:before="220" w:after="0"/>
        <w:ind w:firstLine="540"/>
        <w:jc w:val="both"/>
        <w:rPr/>
      </w:pPr>
      <w:bookmarkStart w:id="3" w:name="P41"/>
      <w:bookmarkEnd w:id="3"/>
      <w:r>
        <w:rPr/>
        <w:t xml:space="preserve">1.3. Минимальная ставка годовой арендной платы за один квадратный метр площади нежилых зданий (помещений) при расчете арендной платы применяется в размере, установленном </w:t>
      </w:r>
      <w:hyperlink r:id="rId12">
        <w:r>
          <w:rPr>
            <w:rStyle w:val="Style9"/>
            <w:color w:val="0000FF"/>
          </w:rPr>
          <w:t>пунктом 2 статьи 1</w:t>
        </w:r>
      </w:hyperlink>
      <w:r>
        <w:rPr/>
        <w:t xml:space="preserve"> Закона Пензенской области от 29.03.2024 N 4193-ЗПО.</w:t>
      </w:r>
    </w:p>
    <w:p>
      <w:pPr>
        <w:pStyle w:val="ConsPlusNormal"/>
        <w:spacing w:before="220" w:after="0"/>
        <w:ind w:firstLine="540"/>
        <w:jc w:val="both"/>
        <w:rPr/>
      </w:pPr>
      <w:bookmarkStart w:id="4" w:name="P42"/>
      <w:bookmarkEnd w:id="4"/>
      <w:r>
        <w:rPr/>
        <w:t xml:space="preserve">1.4. Минимальная ставка годовой арендной платы за один квадратный метр площади нежилых зданий (помещений) для размещения федеральных органов исполнительной власти и органов местного самоуправления муниципальных образований Пензенской области при расчете арендной платы применяется в размере, установленном </w:t>
      </w:r>
      <w:hyperlink r:id="rId13">
        <w:r>
          <w:rPr>
            <w:rStyle w:val="Style9"/>
            <w:color w:val="0000FF"/>
          </w:rPr>
          <w:t>пунктом 3 статьи 1</w:t>
        </w:r>
      </w:hyperlink>
      <w:r>
        <w:rPr/>
        <w:t xml:space="preserve"> Закона Пензенской области от 29.03.2024 N 4193-ЗПО.</w:t>
      </w:r>
    </w:p>
    <w:p>
      <w:pPr>
        <w:pStyle w:val="ConsPlusNormal"/>
        <w:spacing w:before="220" w:after="0"/>
        <w:ind w:firstLine="540"/>
        <w:jc w:val="both"/>
        <w:rPr/>
      </w:pPr>
      <w:bookmarkStart w:id="5" w:name="P43"/>
      <w:bookmarkEnd w:id="5"/>
      <w:r>
        <w:rPr/>
        <w:t xml:space="preserve">1.5. Ставка годовой арендной платы за один квадратный метр общей площади нежилых зданий (помещений), расположенных за чертой города Пензы, для сельскохозяйственных товаропроизводителей, у которых доля производства сельскохозяйственной продукции в общем объеме производства составляет не менее 70 процентов, при расчете арендной платы применяется в размере, установленном </w:t>
      </w:r>
      <w:hyperlink r:id="rId14">
        <w:r>
          <w:rPr>
            <w:rStyle w:val="Style9"/>
            <w:color w:val="0000FF"/>
          </w:rPr>
          <w:t>пунктом 4 статьи 1</w:t>
        </w:r>
      </w:hyperlink>
      <w:r>
        <w:rPr/>
        <w:t xml:space="preserve"> Закона Пензенской области от 29.03.2024 N 4193-ЗПО.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 xml:space="preserve">1.6. Ставка годовой арендной платы при передаче в арендное пользование предприятия в целом как имущественного комплекса определяется в размере, установленном </w:t>
      </w:r>
      <w:hyperlink r:id="rId15">
        <w:r>
          <w:rPr>
            <w:rStyle w:val="Style9"/>
            <w:color w:val="0000FF"/>
          </w:rPr>
          <w:t>пунктом 5 статьи 1</w:t>
        </w:r>
      </w:hyperlink>
      <w:r>
        <w:rPr/>
        <w:t xml:space="preserve"> Закона Пензенской области от 29.03.2024 N 4193-ЗПО.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 xml:space="preserve">1.7. Ставка годовой арендной платы за использование многолетних насаждений, находящихся в собственности Пензенской области, при расчете арендной платы применяется в размере, установленном </w:t>
      </w:r>
      <w:hyperlink r:id="rId16">
        <w:r>
          <w:rPr>
            <w:rStyle w:val="Style9"/>
            <w:color w:val="0000FF"/>
          </w:rPr>
          <w:t>пунктом 6 статьи 1</w:t>
        </w:r>
      </w:hyperlink>
      <w:r>
        <w:rPr/>
        <w:t xml:space="preserve"> Закона Пензенской области от 29.03.2024 N 4193-ЗПО.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 xml:space="preserve">1.8. Ставка арендной платы за использование недвижимого имущества Пензенской области для организации общественного питания и столовой (при отсутствии возможности осуществлять в соответствующем помещении культурно-массовые мероприятия), а также для выполнения мероприятий по охране, защите, воспроизводству лесов определяется в соответствии с </w:t>
      </w:r>
      <w:hyperlink w:anchor="P41">
        <w:r>
          <w:rPr>
            <w:rStyle w:val="Style9"/>
            <w:color w:val="0000FF"/>
          </w:rPr>
          <w:t>пунктом 1.3</w:t>
        </w:r>
      </w:hyperlink>
      <w:r>
        <w:rPr/>
        <w:t xml:space="preserve"> настоящей Методики.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1.9. Арендная плата за пользование имуществом Пензенской области подлежит перечислению ежемесячно не позднее 10-го числа отчетного месяца в соответствии с договором аренды.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1.10. Арендатор объекта капитального строительства Пензенской области обязан компенсировать организации, у которой на праве оперативного управления находится арендуемый объект капитального строительства Пензенской области, расходы, связанные с его содержанием, а также налоги, начисленные за арендуемое имущество и земельный участок под объектом капитального строительства Пензенской области, пропорционально занимаемой им площади.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1.11. Арендатор помещений бизнес-инкубаторов, технопарков Пензенской области освобождается от платежей за использование мест общего пользования.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1"/>
        <w:rPr/>
      </w:pPr>
      <w:r>
        <w:rPr/>
        <w:t>2. Порядок расчета арендной платы за пользование</w:t>
      </w:r>
    </w:p>
    <w:p>
      <w:pPr>
        <w:pStyle w:val="ConsPlusTitle"/>
        <w:jc w:val="center"/>
        <w:rPr/>
      </w:pPr>
      <w:r>
        <w:rPr/>
        <w:t>нежилыми зданиями (помещениями)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  <w:t>2.1. Арендная плата за пользование нежилыми зданиями (помещениями) рассчитывается по формуле: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center"/>
        <w:rPr/>
      </w:pPr>
      <w:r>
        <w:rPr/>
        <w:t>Апл = S x Сб x Киз x Км x Кт x Кз x Квд x Кнж,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  <w:t>где: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Апл - размер ежемесячной платы в рублях за аренду нежилого здания (помещения);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S - общая площадь нежилого здания (помещения);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Сб - базовая ставка арендной платы за нежилое здание (помещение);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Киз - коэффициент износа нежилого здания (помещения)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(при величине износа нежилого здания (помещения) не более 25 процентов Киз составляет 1,0;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при величине износа нежилого здания (помещения) 25 процентов и более Киз составляет 0,75);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Км - коэффициент вида строительного материала: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кирпич - 1,0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железобетон, шлакоблок - 0,8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смешанный (кирпич + дерево) - 0,7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дерево и прочие материалы - 0,6;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Кт - коэффициент типа нежилого здания (помещения);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(значение коэффициента устанавливается в зависимости от назначения нежилого здания (помещения), указанного в техническом паспорте: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административное отапливаемое - 1,1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производственное, складское отапливаемое - 1,0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административное, производственное, складское не отапливаемое - 0,75 прочее - 0,25);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Кз - коэффициент территориальной зоны: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I зона - 1,35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II зона - 1,15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III зона - 1,00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IV зона - 0,85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V зона - 0,75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VI зона - 0,65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 xml:space="preserve">(коэффициент территориальной зоны применяется в зависимости от месторасположения нежилого здания (помещения) в соответствии с </w:t>
      </w:r>
      <w:hyperlink w:anchor="P166">
        <w:r>
          <w:rPr>
            <w:rStyle w:val="Style9"/>
            <w:color w:val="0000FF"/>
          </w:rPr>
          <w:t>приложением N 1</w:t>
        </w:r>
      </w:hyperlink>
      <w:r>
        <w:rPr/>
        <w:t xml:space="preserve"> к настоящей Методике);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 xml:space="preserve">Квд - коэффициент вида деятельности определяется согласно </w:t>
      </w:r>
      <w:hyperlink w:anchor="P371">
        <w:r>
          <w:rPr>
            <w:rStyle w:val="Style9"/>
            <w:color w:val="0000FF"/>
          </w:rPr>
          <w:t>перечню</w:t>
        </w:r>
      </w:hyperlink>
      <w:r>
        <w:rPr/>
        <w:t xml:space="preserve"> видов деятельности в соответствии с приложением N 2 к настоящей Методике;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Кнж - коэффициент качества нежилого здания (помещения):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center"/>
        <w:rPr/>
      </w:pPr>
      <w:r>
        <w:rPr/>
        <w:t>Кнж = К1 + К2 + К3 + К4,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  <w:t>где: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К1 - расположение нежилого здания (помещения):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отдельно стоящее нежилое здание - 0,4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встроенно-пристроенное - 0,3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полуподвал - 0,2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чердак, подвал, прочие нежилые помещения - 0,1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открытые стоянки, площадки, навесы - 0,05;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К2 - техническое обустройство: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электроснабжение, горячая вода, водоотведение, водопровод - 0,5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электроснабжение, водоотведение, водопровод - 0,4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электроснабжение - 0,3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К3 - высота потолков в нежилом здании (помещении):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свыше 3 метров - 0,3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от 2,6 м до 3,0 м - 0,2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менее 2,6 м - 0,1;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К4 - удобство коммерческого использования: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огороженная прилегающая территория - 0,25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неогороженная прилегающая территория - 0,15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отсутствие возможности использовать прилегающую территорию - 0,0.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2.2. В прилагаемом к договору аренды расчете арендной платы в обязательном порядке указывается величина арендной платы за 1 квадратный метр площади арендуемого нежилого здания (помещения).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 xml:space="preserve">Величина арендной платы за 1 квадратный метр арендуемого нежилого здания (помещения) для коммерческих и некоммерческих организаций не может быть установлена ниже минимальной величины арендной платы. Если рассчитанная по формуле величина арендной платы меньше минимальной, то в качестве величины арендной платы за 1 квадратный метр арендуемого нежилого здания (помещения) принимается минимальная ставка арендной платы за 1 квадратный метр, указанная в </w:t>
      </w:r>
      <w:hyperlink w:anchor="P34">
        <w:r>
          <w:rPr>
            <w:rStyle w:val="Style9"/>
            <w:color w:val="0000FF"/>
          </w:rPr>
          <w:t>разделе 1</w:t>
        </w:r>
      </w:hyperlink>
      <w:r>
        <w:rPr/>
        <w:t xml:space="preserve"> "Общие положения" настоящей Методики.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2.3. В расчете арендной платы, являющемся приложением к договору аренды, указываются: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а) размер годовой арендной платы в рублях;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б) размер годовой арендной платы за 1 квадратный метр (в рублях/квадратный метр);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в) размер ежемесячной арендной платы, в т.ч. НДС (в рублях).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1"/>
        <w:rPr/>
      </w:pPr>
      <w:r>
        <w:rPr/>
        <w:t>3. Расчет арендной платы за пользование движимым имуществом,</w:t>
      </w:r>
    </w:p>
    <w:p>
      <w:pPr>
        <w:pStyle w:val="ConsPlusTitle"/>
        <w:jc w:val="center"/>
        <w:rPr/>
      </w:pPr>
      <w:r>
        <w:rPr/>
        <w:t>а также сооружениями, находящимися в собственности</w:t>
      </w:r>
    </w:p>
    <w:p>
      <w:pPr>
        <w:pStyle w:val="ConsPlusTitle"/>
        <w:jc w:val="center"/>
        <w:rPr/>
      </w:pPr>
      <w:r>
        <w:rPr/>
        <w:t>Пензенской области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bookmarkStart w:id="6" w:name="P118"/>
      <w:bookmarkEnd w:id="6"/>
      <w:r>
        <w:rPr/>
        <w:t>3.1. Размер годовой арендной платы за пользование движимым имуществом, а также сооружениями (в соответствии с техническим паспортом, согласно технической инвентаризации, осуществляемой в соответствии с действующим законодательством), находящимися в собственности Пензенской области, рассчитывается по формуле: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center"/>
        <w:rPr/>
      </w:pPr>
      <w:r>
        <w:rPr/>
        <w:drawing>
          <wp:inline distT="0" distB="0" distL="0" distR="0">
            <wp:extent cx="1896745" cy="429895"/>
            <wp:effectExtent l="0" t="0" r="0" b="0"/>
            <wp:docPr id="1" name="Консультант Плюс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онсультант Плюс" descr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,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  <w:t>где: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Апл - размер арендной платы за пользование движимым имуществом, а также сооружениями, находящимися в собственности Пензенской области, в год (в рублях);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Ам - размер годовой амортизации движимого имущества, а также сооружений, находящихся в собственности Пензенской области, определяемый в соответствии с действующим законодательством (в рублях);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Б - тринадцать процентов;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К - коэффициент, устанавливаемый на 2025 год в размере, равном 2,63, и с 2026 года ежегодно индексируемый на максимальный размер уровня инфляции, устанавливаемый федеральным законом о федеральном бюджете на очередной финансовый год и плановый период, в редакции, действующей на начало очередного финансового года.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 xml:space="preserve">3.2. Размер годовой арендной платы за движимое имущество, находящееся в собственности Пензенской области, используемое для выполнения мероприятий по охране, защите, воспроизводству лесов, для производства детского питания, для организации общественного питания в общеобразовательных организациях, образовательных организациях среднего профессионального и высшего образования, для обеспечения питанием больных, проживающих за счет бюджетных средств в медицинских организациях и организациях социального обслуживания, для организации малого и среднего бизнеса с участием преподавателей или учащихся на базе профессиональных образовательных организаций Пензенской области, для всех типов дошкольных образовательных организаций, движимое имущество со сроком полезного использования до 12 месяцев и первоначальной стоимостью менее 20000 рублей, а также за сооружения, используемые управляющими компаниями в созданных на территории Пензенской области индустриальных (промышленных) парках, устанавливается в размере 1/100 от размера арендной платы, рассчитанной в соответствии с </w:t>
      </w:r>
      <w:hyperlink w:anchor="P118">
        <w:r>
          <w:rPr>
            <w:rStyle w:val="Style9"/>
            <w:color w:val="0000FF"/>
          </w:rPr>
          <w:t>пунктом 3.1</w:t>
        </w:r>
      </w:hyperlink>
      <w:r>
        <w:rPr/>
        <w:t xml:space="preserve"> настоящей Методики.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3.3. Размер годовой арендной платы за пользование движимым имуществом, находящимся в собственности Пензенской области, используемым субъектами малого и среднего предпринимательства в бизнес-инкубаторах и технопарках, рассчитывается по формуле: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center"/>
        <w:rPr/>
      </w:pPr>
      <w:r>
        <w:rPr/>
        <w:t>Апл = Кп x Ап,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  <w:t>где: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Апл - размер арендной платы за пользование движимым имуществом в бизнес-инкубаторах, технопарке и корпусе 2 Технопарка - "ИТ-парк" в год (в рублях);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Ап - первоначальная балансовая стоимость движимого имущества, находящегося в собственности Пензенской области (в рублях);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Кп - дифференцированный коэффициент, равный 0,022.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1"/>
        <w:rPr/>
      </w:pPr>
      <w:r>
        <w:rPr/>
        <w:t>4. Особенности установления арендной платы в случае</w:t>
      </w:r>
    </w:p>
    <w:p>
      <w:pPr>
        <w:pStyle w:val="ConsPlusTitle"/>
        <w:jc w:val="center"/>
        <w:rPr/>
      </w:pPr>
      <w:r>
        <w:rPr/>
        <w:t>осуществления капитального ремонта, модернизации или</w:t>
      </w:r>
    </w:p>
    <w:p>
      <w:pPr>
        <w:pStyle w:val="ConsPlusTitle"/>
        <w:jc w:val="center"/>
        <w:rPr/>
      </w:pPr>
      <w:r>
        <w:rPr/>
        <w:t>реконструкции арендуемого имущества, находящегося</w:t>
      </w:r>
    </w:p>
    <w:p>
      <w:pPr>
        <w:pStyle w:val="ConsPlusTitle"/>
        <w:jc w:val="center"/>
        <w:rPr/>
      </w:pPr>
      <w:r>
        <w:rPr/>
        <w:t>в собственности Пензенской области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  <w:t>4.1. Необходимость осуществления капитального ремонта, модернизации или реконструкции арендуемого имущества, находящегося в собственности Пензенской области, определяется комиссией из представителей исполнительного органа Пензенской области в сфере земельных и имущественных отношений, балансодержателя, соответствующего исполнительного органа Пензенской области, в ведомственном подчинении которого находится балансодержатель, и арендатора, на основании заявления арендатора, представленного в исполнительный орган Пензенской области в сфере земельных и имущественных отношений. Выводы и предложения комиссии о необходимости или отсутствии необходимости осуществления капитального ремонта, модернизации или реконструкции арендуемого имущества, находящегося в собственности Пензенской области, оформляются актом. В случае установления комиссией необходимости осуществления капитального ремонта, модернизации или реконструкции арендуемого имущества, находящегося в собственности Пензенской области, специализированной организацией по заказу арендатора разрабатывается проектно-сметная документация, которая подлежит согласованию с балансодержателем арендуемого имущества, находящегося в собственности Пензенской области. В случае несогласования балансодержателем проектно-сметной документации на капитальный ремонт, модернизацию или реконструкцию балансодержатель обязан в разумный срок осуществить капитальный ремонт, модернизацию или реконструкцию арендуемого имущества, находящегося в собственности Пензенской области, за счет собственных средств и передать это имущество по акту арендатору. В случае несогласования балансодержателем проектно-сметной документации и неосуществления капитального ремонта, модернизации или реконструкции арендуемого имущества, находящегося в собственности Пензенской области, балансодержатель обязан в разумный срок в соответствии с гражданским законодательством возместить арендатору убытки, связанные с его затратами на разработку проектно-сметной документации.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4.2. После осуществления капитального ремонта, модернизации или реконструкции арендатором арендуемого имущества, находящегося в собственности Пензенской области, объем выполненных работ оформляется актом выполненных работ, который утверждается балансодержателем и представляется в соответствующий исполнительный орган Пензенской области, в ведомственном подчинении которого находится балансодержатель.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 xml:space="preserve">Арендная плата для арендаторов, осуществивших капитальный ремонт, модернизацию или реконструкцию арендуемого имущества, находящегося в собственности Пензенской области, устанавливается в соответствии с </w:t>
      </w:r>
      <w:hyperlink w:anchor="P150">
        <w:r>
          <w:rPr>
            <w:rStyle w:val="Style9"/>
            <w:color w:val="0000FF"/>
          </w:rPr>
          <w:t>пунктом 4.5</w:t>
        </w:r>
      </w:hyperlink>
      <w:r>
        <w:rPr/>
        <w:t xml:space="preserve"> настоящей Методики после утверждения акта выполненных работ.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 xml:space="preserve">На основании заявления арендатора и акта выполненных работ действие соглашения о применении размера арендной платы в соответствии с </w:t>
      </w:r>
      <w:hyperlink w:anchor="P150">
        <w:r>
          <w:rPr>
            <w:rStyle w:val="Style9"/>
            <w:color w:val="0000FF"/>
          </w:rPr>
          <w:t>пунктом 4.5</w:t>
        </w:r>
      </w:hyperlink>
      <w:r>
        <w:rPr/>
        <w:t xml:space="preserve"> настоящей Методики подлежит распространению на отношения, возникшие до проведения работ по капитальному ремонту, модернизации или реконструкции арендуемого имущества, находящегося в собственности Пензенской области, в случае, если это не противоречит условиям договора аренды.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4.3. К затратам на проведение работ по капитальному ремонту, модернизации или реконструкции арендуемого имущества, находящегося в собственности Пензенской области, относятся: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- затраты, связанные с проведением работ, установленные федеральными нормативными правовыми актами и нормативными правовыми актами Пензенской области;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- затраты на разработку проектно-сметной документации на вышеуказанные работы.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4.4. Время начала и время окончания работ по капитальному ремонту, модернизации или реконструкции арендуемого имущества, находящегося в собственности Пензенской области, определяется комиссией.</w:t>
      </w:r>
    </w:p>
    <w:p>
      <w:pPr>
        <w:pStyle w:val="ConsPlusNormal"/>
        <w:spacing w:before="220" w:after="0"/>
        <w:ind w:firstLine="540"/>
        <w:jc w:val="both"/>
        <w:rPr/>
      </w:pPr>
      <w:bookmarkStart w:id="7" w:name="P150"/>
      <w:bookmarkEnd w:id="7"/>
      <w:r>
        <w:rPr/>
        <w:t>4.5. На основании заявления арендатора, осуществившего в установленном порядке с разрешения арендодателя капитальный ремонт, модернизацию или реконструкцию арендуемого имущества, находящегося в собственности Пензенской области, на срок проведения капитального ремонта, модернизации или реконструкции, но не более чем на 24 месяца: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 xml:space="preserve">- годовая арендная плата за 1 квадратный метр площади арендуемого недвижимого имущества, находящегося в собственности Пензенской области, устанавливается в размере базовой ставки арендной платы, определенной </w:t>
      </w:r>
      <w:hyperlink w:anchor="P40">
        <w:r>
          <w:rPr>
            <w:rStyle w:val="Style9"/>
            <w:color w:val="0000FF"/>
          </w:rPr>
          <w:t>пунктом 1.2</w:t>
        </w:r>
      </w:hyperlink>
      <w:r>
        <w:rPr/>
        <w:t xml:space="preserve"> настоящей Методики;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- за пользование движимым имуществом, а также сооружениями, находящимися в собственности Пензенской области, годовая арендная плата устанавливается в размере 1/100 от размера арендной платы, определенной договором аренды.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numPr>
          <w:ilvl w:val="0"/>
          <w:numId w:val="0"/>
        </w:numPr>
        <w:jc w:val="right"/>
        <w:outlineLvl w:val="1"/>
        <w:rPr/>
      </w:pPr>
      <w:r>
        <w:rPr/>
        <w:t>Приложение N 1</w:t>
      </w:r>
    </w:p>
    <w:p>
      <w:pPr>
        <w:pStyle w:val="ConsPlusNormal"/>
        <w:jc w:val="right"/>
        <w:rPr/>
      </w:pPr>
      <w:r>
        <w:rPr/>
        <w:t>к Методике</w:t>
      </w:r>
    </w:p>
    <w:p>
      <w:pPr>
        <w:pStyle w:val="ConsPlusNormal"/>
        <w:jc w:val="right"/>
        <w:rPr/>
      </w:pPr>
      <w:r>
        <w:rPr/>
        <w:t>расчета арендной платы за</w:t>
      </w:r>
    </w:p>
    <w:p>
      <w:pPr>
        <w:pStyle w:val="ConsPlusNormal"/>
        <w:jc w:val="right"/>
        <w:rPr/>
      </w:pPr>
      <w:r>
        <w:rPr/>
        <w:t>пользование недвижимым и</w:t>
      </w:r>
    </w:p>
    <w:p>
      <w:pPr>
        <w:pStyle w:val="ConsPlusNormal"/>
        <w:jc w:val="right"/>
        <w:rPr/>
      </w:pPr>
      <w:r>
        <w:rPr/>
        <w:t>движимым имуществом,</w:t>
      </w:r>
    </w:p>
    <w:p>
      <w:pPr>
        <w:pStyle w:val="ConsPlusNormal"/>
        <w:jc w:val="right"/>
        <w:rPr/>
      </w:pPr>
      <w:r>
        <w:rPr/>
        <w:t>находящимся в собственности</w:t>
      </w:r>
    </w:p>
    <w:p>
      <w:pPr>
        <w:pStyle w:val="ConsPlusNormal"/>
        <w:jc w:val="right"/>
        <w:rPr/>
      </w:pPr>
      <w:r>
        <w:rPr/>
        <w:t>Пензенской области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jc w:val="center"/>
        <w:rPr/>
      </w:pPr>
      <w:bookmarkStart w:id="8" w:name="P166"/>
      <w:bookmarkEnd w:id="8"/>
      <w:r>
        <w:rPr/>
        <w:t>ПЕРЕЧЕНЬ</w:t>
      </w:r>
    </w:p>
    <w:p>
      <w:pPr>
        <w:pStyle w:val="ConsPlusTitle"/>
        <w:jc w:val="center"/>
        <w:rPr/>
      </w:pPr>
      <w:r>
        <w:rPr/>
        <w:t>ТЕРРИТОРИАЛЬНЫХ ЗОН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2"/>
        <w:rPr/>
      </w:pPr>
      <w:r>
        <w:rPr/>
        <w:t>1. Город Пенза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  <w:t>Автовокзал (г. Пенза) Кз = 1,5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Железнодорожный вокзал (станция Пенза I) Кз = 1,5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3"/>
        <w:rPr/>
      </w:pPr>
      <w:r>
        <w:rPr/>
        <w:t>I зона (Кз = 1,35)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  <w:t>Театральный проезд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Бакунина (от ул. Володарского до ул. Кирова)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Володарского (от ул. Бакунина до ул. М. Горького)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Кирова (от ул. Бакунина до ул. М. Горького)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Московская (от ул. М. Горького до ул. Бакунина)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М. Горького (от ул. Кирова до ул. Володарского)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3"/>
        <w:rPr/>
      </w:pPr>
      <w:r>
        <w:rPr/>
        <w:t>II зона (Кз = 1,15)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  <w:t>Площадь Маршала Жукова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Бакунина (от набережной р. Суры до ул. Кирова и от ул. Володарского до ул. Плеханова)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Володарского (от ул. Бакунина до ул. Октябрьской и от ул. М. Горького до ул. Советской)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Кирова (от ул. Кураева до ул. М. Горького)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Кулакова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Куприна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М. Горького (от ул. Урицкого до ул. Кирова)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Московская (от ул. М. Горького до ул. К. Маркса и от ул. Бакунина до ул. Октябрьской)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Славы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Суворова (от ул. Урицкого до ул. Кулакова)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Привокзальная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3"/>
        <w:rPr/>
      </w:pPr>
      <w:r>
        <w:rPr/>
        <w:t>III зона (Кз = 1,0)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  <w:t>Советская площадь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проспект Победы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проспект Строителей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8-е Марта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Бакунина (от ул. Плеханова до ул. Кулакова)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Белинского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Богданова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Гладкова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Глазунова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К. Маркса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Калинина (от ул. Лермонтова до проезда Лобачевского)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Карпинского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Кирова (от ул. Лермонтова до ул. Кураева)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Коммунистическая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Кулибина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Кураева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Ленина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Ленинградская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Либерсона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Лобачевского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Луначарского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М. Горького (от ул. Володарского до ул. Ключевского)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Малая Кочетовка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Мира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Пионерская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Плеханова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Попова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Пушкина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Сборная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Советская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Суворова (от ул. Кулакова до ул. Карпинского)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Урицкого (от ул. Либерсона до ул. Бакунина)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Циолковского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Чехова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Чкалова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Гагарина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Некрасова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3"/>
        <w:rPr/>
      </w:pPr>
      <w:r>
        <w:rPr/>
        <w:t>IV зона (Кз = 0,85)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  <w:t>ул. Антонова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Бекешская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Беляева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Бородина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Буровая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Воровского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Ворошилова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Вяземского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Герцена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Гоголя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Дзержинского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Докучаева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Долгова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Дружбы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Красная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Кронштадтская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Крупской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Кл. Цеткин (от ул. Дружбы до ул. Менделеева)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Куйбышева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Ладожская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Леонова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Лермонтова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Лядова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Минская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Одесская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Островского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Парковая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Пацаева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Пролетарская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Рахманинова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Свердлова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Собинова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Средняя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Ставского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Стасова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Тамбовская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Титова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Толстого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Ударная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Ульяновская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Урицкого (кроме участка от ул. Либерсона до ул. Бакунина)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Ухтомского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Фрунзе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Чаадаева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9 Января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Светлая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Ново-Тамбовская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Шмидта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3"/>
        <w:rPr/>
      </w:pPr>
      <w:r>
        <w:rPr/>
        <w:t>V зона (Кз = 0,75)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  <w:t>5-й Виноградный проезд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Жемчужный проезд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Пролетарский проезд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Набережная р. Мойки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Набережная р. Пензы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Аустрина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Депутатская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Захарова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Воронова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Жемчужная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Измайлова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Индустриальная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Каракозова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Кижеватова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Ключевского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Красная Горка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Краснова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Либерсона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Новый Кавказ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Окружная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Пушанина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Российская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Ростовская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Тимирязева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Терешковой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Терновского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Тухачевского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Фабричная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Фурманова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Экспериментальная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Маркина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Красные кирпичики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Перспективная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Горная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Центральная, Аэропорт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3"/>
        <w:rPr/>
      </w:pPr>
      <w:r>
        <w:rPr/>
        <w:t>VI зона (Кз = 0,65)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  <w:t>ул. Ботаническая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Егорова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Злобина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Кл. Цеткин (кроме участка от ул. Дружбы до ул. Менделеева)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Коннозаводская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Конструкторская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Литвинова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Межрайонная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Металлистов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Пархоменко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Ремесленная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Саранская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Ушакова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Ягодная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Грибоедова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Мичурина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Можайского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Молодогвардейская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Кордон Студеный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Совхоз-техникум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Совхозный проезд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Тепличная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Лесозащитная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Ленинский мехлесхоз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ул. Ленинский лесхоз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проезд Грибоедова.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2. Коэффициент территориальной зоны для нежилых зданий (помещений), расположенных в муниципальных районах и городских округах Пензенской области: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Город Заречный (все улицы), город Кузнецк (все улицы) Кз = 1,0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Районные центры муниципальных районов Кз = 0,7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Поселения муниципальных районов Кз = 0,5.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numPr>
          <w:ilvl w:val="0"/>
          <w:numId w:val="0"/>
        </w:numPr>
        <w:jc w:val="right"/>
        <w:outlineLvl w:val="1"/>
        <w:rPr/>
      </w:pPr>
      <w:r>
        <w:rPr/>
        <w:t>Приложение N 2</w:t>
      </w:r>
    </w:p>
    <w:p>
      <w:pPr>
        <w:pStyle w:val="ConsPlusNormal"/>
        <w:jc w:val="right"/>
        <w:rPr/>
      </w:pPr>
      <w:r>
        <w:rPr/>
        <w:t>к Методике</w:t>
      </w:r>
    </w:p>
    <w:p>
      <w:pPr>
        <w:pStyle w:val="ConsPlusNormal"/>
        <w:jc w:val="right"/>
        <w:rPr/>
      </w:pPr>
      <w:r>
        <w:rPr/>
        <w:t>расчета арендной платы за</w:t>
      </w:r>
    </w:p>
    <w:p>
      <w:pPr>
        <w:pStyle w:val="ConsPlusNormal"/>
        <w:jc w:val="right"/>
        <w:rPr/>
      </w:pPr>
      <w:r>
        <w:rPr/>
        <w:t>пользование недвижимым</w:t>
      </w:r>
    </w:p>
    <w:p>
      <w:pPr>
        <w:pStyle w:val="ConsPlusNormal"/>
        <w:jc w:val="right"/>
        <w:rPr/>
      </w:pPr>
      <w:r>
        <w:rPr/>
        <w:t>и движимым имуществом,</w:t>
      </w:r>
    </w:p>
    <w:p>
      <w:pPr>
        <w:pStyle w:val="ConsPlusNormal"/>
        <w:jc w:val="right"/>
        <w:rPr/>
      </w:pPr>
      <w:r>
        <w:rPr/>
        <w:t>находящимся в собственности</w:t>
      </w:r>
    </w:p>
    <w:p>
      <w:pPr>
        <w:pStyle w:val="ConsPlusNormal"/>
        <w:jc w:val="right"/>
        <w:rPr/>
      </w:pPr>
      <w:r>
        <w:rPr/>
        <w:t>Пензенской области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jc w:val="center"/>
        <w:rPr/>
      </w:pPr>
      <w:bookmarkStart w:id="9" w:name="P371"/>
      <w:bookmarkEnd w:id="9"/>
      <w:r>
        <w:rPr/>
        <w:t>ПЕРЕЧЕНЬ</w:t>
      </w:r>
    </w:p>
    <w:p>
      <w:pPr>
        <w:pStyle w:val="ConsPlusTitle"/>
        <w:jc w:val="center"/>
        <w:rPr/>
      </w:pPr>
      <w:r>
        <w:rPr/>
        <w:t>ВИДОВ ДЕЯТЕЛЬНОСТИ</w:t>
      </w:r>
    </w:p>
    <w:p>
      <w:pPr>
        <w:pStyle w:val="ConsPlusNormal"/>
        <w:jc w:val="both"/>
        <w:rPr/>
      </w:pPr>
      <w:r>
        <w:rPr/>
      </w:r>
    </w:p>
    <w:tbl>
      <w:tblPr>
        <w:tblW w:w="8896" w:type="dxa"/>
        <w:jc w:val="left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7088"/>
        <w:gridCol w:w="1242"/>
      </w:tblGrid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N п/п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Виды деятельности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Размер Квд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  <w:t>1.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/>
            </w:pPr>
            <w:r>
              <w:rPr/>
              <w:t>Деятельность банков, финансовых организаций, лизинговых, страховых и риэлторских компаний, инвестиционных и аудиторских фирм, ломбардов, саун, соляриев, рекламная деятельность, административная деятельность юридических и физических лиц, за исключением указанной в других пунктах настоящего Перечня, розничная торговля в киосках, палатках, с лотков и в магазинах (за исключением торговли хлебом, молоком, овощами, семенами, цветами, книгами, детскими товарами), юридическая, нотариальная и адвокатская деятельность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4,0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  <w:t>2.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/>
            </w:pPr>
            <w:r>
              <w:rPr/>
              <w:t>Торговля хлебом, молоком, овощами, семенами, цветами, книгами, детскими товарами в киосках, палатках, с лотков и в магазинах. Деятельность аптек и оптик, организаций и физических лиц, оказывающих, косметические, косметологические услуги и услуги парикмахерских. Деятельность фирм, осуществляющих информационно-техническое обслуживание и программное обеспечение, оказывающих сыскные и охранные услуги. Деятельность проката аудио- и видеопродукции, компьютерной техники. Изготовление и ремонт ювелирных изделий. Экскурсионная и туристическая деятельность, деятельность художественных салонов и выставочных залов, ведущих реализацию. Фотоуслуги, оптовая торговля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2,0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  <w:t>3.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/>
            </w:pPr>
            <w:r>
              <w:rPr/>
              <w:t>Деятельность автошкол, автосервисов, компаний по оказанию услуг связи и размещению оборудования связи, технопарков, технопарка - "ИТ-парк", организаций, образующих инфраструктуру поддержки субъектов малого и среднего предпринимательства, за исключением деятельности бизнес-инкубаторов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1,5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  <w:t>4.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/>
            </w:pPr>
            <w:r>
              <w:rPr/>
              <w:t>Производственная деятельность, деятельность по организации питания и использование подсобных помещений в бизнес-инкубаторах, расположенных в городе Пензе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1,2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  <w:t>5.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/>
            </w:pPr>
            <w:r>
              <w:rPr/>
              <w:t xml:space="preserve">Деятельность государственных и муниципальных учреждений в административных помещениях из расчета более 9 квадратных метров общей площади на одного работника. Использование мест общего пользования (если коэффициент основного вида деятельности установлен в размере выше 1). Производственная, медицинская, образовательная и спортивно-оздоровительная деятельность. Деятельность в офисных и лабораторных помещениях бизнес-инкубаторов, за исключением деятельности в бизнес-инкубаторах, указанной в </w:t>
            </w:r>
            <w:hyperlink w:anchor="P398">
              <w:r>
                <w:rPr>
                  <w:rStyle w:val="Style9"/>
                  <w:color w:val="0000FF"/>
                </w:rPr>
                <w:t>пункте 7</w:t>
              </w:r>
            </w:hyperlink>
            <w:r>
              <w:rPr/>
              <w:t xml:space="preserve"> настоящего Перечня. Складская деятельность, деятельность редакций газет и журналов, организаций теле- и радиовещания, издательская и полиграфическая деятельность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1,0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  <w:t>6.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/>
            </w:pPr>
            <w:r>
              <w:rPr/>
              <w:t>Производственная деятельность, деятельность по организации питания и использование подсобных помещений в бизнес-инкубаторах, расположенных в муниципальных районах и городских округах Пензенской области, за исключением города Пензы и моногородов Пензенской области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0,7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bookmarkStart w:id="10" w:name="P398"/>
            <w:bookmarkEnd w:id="10"/>
            <w:r>
              <w:rPr/>
              <w:t>7.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/>
            </w:pPr>
            <w:r>
              <w:rPr/>
              <w:t>Деятельность по производству товаров для инвалидов и инвалидами, оказание услуг почтовой связи, деятельность буфетов, общественных столовых. Культурная деятельность, деятельность архивов, библиотек, фильмотек, музеев, выставок. Торговля в специализированных магазинах и отделах детским и диетическим питанием, в магазинах, обслуживающих ветеранов, пенсионеров и других малообеспеченных слоев населения. Услуги по стирке белья, оказываемые в медицинских организациях и организациях социального обслуживания. Деятельность в помещениях бизнес-инкубаторов субъектами малого и среднего предпринимательства, реализующими инновационные проекты с использованием результатов интеллектуальной деятельности или получившими финансовую поддержку по программам Фонда содействия инновациям, получившими преференцию путем передачи в аренду имущества бизнес-инкубаторов, победителями региональных соревнований, конкурсов в сфере информационных технологий, деятельность в помещениях бизнес-инкубаторов, расположенных в моногородах Пензенской области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0,5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  <w:t>9.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/>
            </w:pPr>
            <w:r>
              <w:rPr/>
              <w:t xml:space="preserve">Административная деятельность государственных и муниципальных учреждений в помещениях из расчета не более 9 квадратных метров общей площади на одного работника. Деятельность в помещениях, предоставленных в соответствии с федеральными и областными целевыми программами, деятельность управляющих компаний индустриальных парков Пензенской области в течение первых пяти лет аренды, за исключением деятельности, указанной в других пунктах настоящего Перечня. Деятельность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арендующих недвижимое имущество Пензенской области, включенное в Перечень имущества Пензенской области, свободного от прав третьих лиц (за исключением права хозяйственного ведения, права оперативного управления, имущественных прав субъектов малого и среднего предпринимательства), предусмотренный </w:t>
            </w:r>
            <w:hyperlink r:id="rId18">
              <w:r>
                <w:rPr>
                  <w:rStyle w:val="Style9"/>
                  <w:color w:val="0000FF"/>
                </w:rPr>
                <w:t>частью 4 статьи 18</w:t>
              </w:r>
            </w:hyperlink>
            <w:r>
              <w:rPr/>
              <w:t xml:space="preserve"> Федерального закона от 24 июля 2007 г. N 209-ФЗ "О развитии малого и среднего предпринимательства в Российской Федерации", за исключением деятельности в бизнес-инкубаторах, технопарках, технопарке - "ИТ-парк"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415">
              <w:r>
                <w:rPr>
                  <w:rStyle w:val="Style9"/>
                  <w:color w:val="0000FF"/>
                </w:rPr>
                <w:t>&lt;*&gt;</w:t>
              </w:r>
            </w:hyperlink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/>
            </w:pPr>
            <w:r>
              <w:rPr/>
              <w:t>10.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/>
            </w:pPr>
            <w:r>
              <w:rPr/>
              <w:t>Организация малого и среднего бизнеса с участием преподавателей или учащихся на базе профессиональных образовательных организаций, за исключением указанных в других пунктах настоящего Перечня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417">
              <w:r>
                <w:rPr>
                  <w:rStyle w:val="Style9"/>
                  <w:color w:val="0000FF"/>
                </w:rPr>
                <w:t>&lt;***&gt;</w:t>
              </w:r>
            </w:hyperlink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/>
            </w:pPr>
            <w:r>
              <w:rPr/>
              <w:t>11.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/>
            </w:pPr>
            <w:r>
              <w:rPr/>
              <w:t>Деятельность сельскохозяйственных товаропроизводителей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416">
              <w:r>
                <w:rPr>
                  <w:rStyle w:val="Style9"/>
                  <w:color w:val="0000FF"/>
                </w:rPr>
                <w:t>&lt;**&gt;</w:t>
              </w:r>
            </w:hyperlink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/>
            </w:pPr>
            <w:r>
              <w:rPr/>
              <w:t>12.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/>
            </w:pPr>
            <w:r>
              <w:rPr/>
              <w:t>Прочие виды деятельности, не учтенные в настоящем Перечне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1,0</w:t>
            </w:r>
          </w:p>
        </w:tc>
      </w:tr>
    </w:tbl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  <w:t>--------------------------------</w:t>
      </w:r>
    </w:p>
    <w:p>
      <w:pPr>
        <w:pStyle w:val="ConsPlusNormal"/>
        <w:spacing w:before="220" w:after="0"/>
        <w:ind w:firstLine="540"/>
        <w:jc w:val="both"/>
        <w:rPr/>
      </w:pPr>
      <w:bookmarkStart w:id="11" w:name="P415"/>
      <w:bookmarkEnd w:id="11"/>
      <w:r>
        <w:rPr/>
        <w:t xml:space="preserve">&lt;*&gt; - применяется минимальная ставка годовой арендной платы за 1 квадратный метр в соответствии с </w:t>
      </w:r>
      <w:hyperlink w:anchor="P41">
        <w:r>
          <w:rPr>
            <w:rStyle w:val="Style9"/>
            <w:color w:val="0000FF"/>
          </w:rPr>
          <w:t>пунктом 1.3</w:t>
        </w:r>
      </w:hyperlink>
      <w:r>
        <w:rPr/>
        <w:t xml:space="preserve"> Методики;</w:t>
      </w:r>
    </w:p>
    <w:p>
      <w:pPr>
        <w:pStyle w:val="ConsPlusNormal"/>
        <w:spacing w:before="220" w:after="0"/>
        <w:ind w:firstLine="540"/>
        <w:jc w:val="both"/>
        <w:rPr/>
      </w:pPr>
      <w:bookmarkStart w:id="12" w:name="P416"/>
      <w:bookmarkEnd w:id="12"/>
      <w:r>
        <w:rPr/>
        <w:t xml:space="preserve">&lt;**&gt; - применяется ставка годовой арендной платы за 1 квадратный метр в соответствии с </w:t>
      </w:r>
      <w:hyperlink w:anchor="P43">
        <w:r>
          <w:rPr>
            <w:rStyle w:val="Style9"/>
            <w:color w:val="0000FF"/>
          </w:rPr>
          <w:t>пунктом 1.5</w:t>
        </w:r>
      </w:hyperlink>
      <w:r>
        <w:rPr/>
        <w:t xml:space="preserve"> Методики;</w:t>
      </w:r>
    </w:p>
    <w:p>
      <w:pPr>
        <w:pStyle w:val="ConsPlusNormal"/>
        <w:spacing w:before="220" w:after="0"/>
        <w:ind w:firstLine="540"/>
        <w:jc w:val="both"/>
        <w:rPr/>
      </w:pPr>
      <w:bookmarkStart w:id="13" w:name="P417"/>
      <w:bookmarkEnd w:id="13"/>
      <w:r>
        <w:rPr/>
        <w:t xml:space="preserve">&lt;***&gt; - применяется минимальная ставка годовой арендной платы за 1 квадратный метр в соответствии с </w:t>
      </w:r>
      <w:hyperlink w:anchor="P42">
        <w:r>
          <w:rPr>
            <w:rStyle w:val="Style9"/>
            <w:color w:val="0000FF"/>
          </w:rPr>
          <w:t>пунктом 1.4</w:t>
        </w:r>
      </w:hyperlink>
      <w:r>
        <w:rPr/>
        <w:t xml:space="preserve"> Методики.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pBdr>
          <w:bottom w:val="single" w:sz="6" w:space="0" w:color="000000"/>
        </w:pBdr>
        <w:spacing w:before="100" w:after="100"/>
        <w:jc w:val="both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DejaVu Serif">
    <w:charset w:val="01"/>
    <w:family w:val="roman"/>
    <w:pitch w:val="variable"/>
  </w:font>
  <w:font w:name="Calibri">
    <w:charset w:val="01"/>
    <w:family w:val="roman"/>
    <w:pitch w:val="variable"/>
  </w:font>
  <w:font w:name="DejaVu Sans">
    <w:charset w:val="01"/>
    <w:family w:val="swiss"/>
    <w:pitch w:val="variable"/>
  </w:font>
  <w:font w:name="Calibri">
    <w:charset w:val="01"/>
    <w:family w:val="swiss"/>
    <w:pitch w:val="variable"/>
  </w:font>
  <w:font w:name="Tahoma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e31a1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DejaVu Sans" w:hAnsi="DejaVu Sans" w:eastAsia="Noto Sans Mono CJK HK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"/>
    </w:rPr>
  </w:style>
  <w:style w:type="paragraph" w:styleId="ConsPlusNormal" w:customStyle="1">
    <w:name w:val="ConsPlusNormal"/>
    <w:qFormat/>
    <w:rsid w:val="00972a60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ConsPlusTitle" w:customStyle="1">
    <w:name w:val="ConsPlusTitle"/>
    <w:qFormat/>
    <w:rsid w:val="00972a60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eastAsia="ru-RU" w:val="ru-RU" w:bidi="ar-SA"/>
    </w:rPr>
  </w:style>
  <w:style w:type="paragraph" w:styleId="ConsPlusTitlePage" w:customStyle="1">
    <w:name w:val="ConsPlusTitlePage"/>
    <w:qFormat/>
    <w:rsid w:val="00972a60"/>
    <w:pPr>
      <w:widowControl w:val="false"/>
      <w:bidi w:val="0"/>
      <w:spacing w:lineRule="auto" w:line="240" w:before="0" w:after="0"/>
      <w:jc w:val="left"/>
    </w:pPr>
    <w:rPr>
      <w:rFonts w:ascii="Tahoma" w:hAnsi="Tahoma" w:eastAsia="Times New Roman" w:cs="Tahoma"/>
      <w:color w:val="auto"/>
      <w:kern w:val="0"/>
      <w:sz w:val="20"/>
      <w:szCs w:val="20"/>
      <w:lang w:eastAsia="ru-RU" w:val="ru-RU" w:bidi="ar-SA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RLAW021&amp;n=216372" TargetMode="External"/><Relationship Id="rId3" Type="http://schemas.openxmlformats.org/officeDocument/2006/relationships/hyperlink" Target="https://login.consultant.ru/link/?req=doc&amp;base=RLAW021&amp;n=218816&amp;dst=100008" TargetMode="External"/><Relationship Id="rId4" Type="http://schemas.openxmlformats.org/officeDocument/2006/relationships/hyperlink" Target="https://login.consultant.ru/link/?req=doc&amp;base=RLAW021&amp;n=218842" TargetMode="External"/><Relationship Id="rId5" Type="http://schemas.openxmlformats.org/officeDocument/2006/relationships/hyperlink" Target="https://login.consultant.ru/link/?req=doc&amp;base=RLAW021&amp;n=210719&amp;dst=100097" TargetMode="External"/><Relationship Id="rId6" Type="http://schemas.openxmlformats.org/officeDocument/2006/relationships/hyperlink" Target="https://login.consultant.ru/link/?req=doc&amp;base=RLAW021&amp;n=192039" TargetMode="External"/><Relationship Id="rId7" Type="http://schemas.openxmlformats.org/officeDocument/2006/relationships/hyperlink" Target="https://login.consultant.ru/link/?req=doc&amp;base=RLAW021&amp;n=216372" TargetMode="External"/><Relationship Id="rId8" Type="http://schemas.openxmlformats.org/officeDocument/2006/relationships/hyperlink" Target="www.pravo.gov.ru" TargetMode="External"/><Relationship Id="rId9" Type="http://schemas.openxmlformats.org/officeDocument/2006/relationships/hyperlink" Target="https://login.consultant.ru/link/?req=doc&amp;base=RLAW021&amp;n=210719&amp;dst=100097" TargetMode="External"/><Relationship Id="rId10" Type="http://schemas.openxmlformats.org/officeDocument/2006/relationships/hyperlink" Target="https://login.consultant.ru/link/?req=doc&amp;base=RLAW021&amp;n=192039" TargetMode="External"/><Relationship Id="rId11" Type="http://schemas.openxmlformats.org/officeDocument/2006/relationships/hyperlink" Target="https://login.consultant.ru/link/?req=doc&amp;base=RLAW021&amp;n=192039&amp;dst=100008" TargetMode="External"/><Relationship Id="rId12" Type="http://schemas.openxmlformats.org/officeDocument/2006/relationships/hyperlink" Target="https://login.consultant.ru/link/?req=doc&amp;base=RLAW021&amp;n=192039&amp;dst=100009" TargetMode="External"/><Relationship Id="rId13" Type="http://schemas.openxmlformats.org/officeDocument/2006/relationships/hyperlink" Target="https://login.consultant.ru/link/?req=doc&amp;base=RLAW021&amp;n=192039&amp;dst=100010" TargetMode="External"/><Relationship Id="rId14" Type="http://schemas.openxmlformats.org/officeDocument/2006/relationships/hyperlink" Target="https://login.consultant.ru/link/?req=doc&amp;base=RLAW021&amp;n=192039&amp;dst=100011" TargetMode="External"/><Relationship Id="rId15" Type="http://schemas.openxmlformats.org/officeDocument/2006/relationships/hyperlink" Target="https://login.consultant.ru/link/?req=doc&amp;base=RLAW021&amp;n=192039&amp;dst=100012" TargetMode="External"/><Relationship Id="rId16" Type="http://schemas.openxmlformats.org/officeDocument/2006/relationships/hyperlink" Target="https://login.consultant.ru/link/?req=doc&amp;base=RLAW021&amp;n=192039&amp;dst=100013" TargetMode="External"/><Relationship Id="rId17" Type="http://schemas.openxmlformats.org/officeDocument/2006/relationships/image" Target="media/image1.wmf"/><Relationship Id="rId18" Type="http://schemas.openxmlformats.org/officeDocument/2006/relationships/hyperlink" Target="https://login.consultant.ru/link/?req=doc&amp;base=LAW&amp;n=531406&amp;dst=409" TargetMode="Externa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LibreOffice/24.8.7.2$Linux_X86_64 LibreOffice_project/480$Build-2</Application>
  <AppVersion>15.0000</AppVersion>
  <Pages>16</Pages>
  <Words>3312</Words>
  <Characters>23166</Characters>
  <CharactersWithSpaces>26115</CharactersWithSpaces>
  <Paragraphs>363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2026-06-10T12:59:00Z</dcterms:created>
  <dc:creator>E.Veselova</dc:creator>
  <dc:description/>
  <dc:language>ru-RU</dc:language>
  <cp:lastModifiedBy/>
  <dcterms:modified xsi:type="dcterms:W3CDTF">2026-06-10T23:24:32Z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